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left"/>
        <w:outlineLvl w:val="0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届“中国创翼”创业创新大赛曲靖选拔赛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暨曲靖市“创投杯”创业创新大赛</w:t>
      </w: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（主体赛制造业项目组）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一、创新引领性（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1.技术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产品具有原创性、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突破性、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创新性（10分）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2.技术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产品具有行业领先性或取得了专利等知识产权成果，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对打造新兴产业链，推动传统产业高端化、智能化、绿色化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具有示范性和引领性（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运营和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模式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具有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可行性、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创新性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和竞争优势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带动就业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1.直接带动就业岗位的数量，间接带动创业就业的数量（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2.预计未来3年将创造就业岗位的数量规模（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带动高校毕业生、退役军人、残疾人、脱贫人口等重点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群体就业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促进员工高质量稳定就业，在规范用工、提供发展平台、改善工作环境、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引领生活方式转变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等方面的举措和效果（5分）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三、项目团队（20分）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1.项目第一创始人的素质、能力、背景和经历（5分）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2.团队成员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构成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的科学性、完整性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互补性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和稳定性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3.团队的整体运营能力和执行力（5分）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4.团队股权结构和员工激励机制合理性（5分）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四、发展现状和前景（2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1.项目运营现状，已取得的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经营业绩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2.项目财务状况，融资状况（5分）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3.项目具有广阔的市场前景，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具备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开拓市场的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可行性和条件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4.项目具有可持续发展的能力及良好的经济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价值（5分）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届“中国创翼”创业创新大赛曲靖选拔赛暨曲靖市“创投杯”创业创新大赛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  <w:t>（主体赛服务业项目组）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一、创新引领性（25分）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、服务或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产品具有原创性、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突破性、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创新性（10分）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服务或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产品具有行业领先性或取得了专利等知识产权成果，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对推动服务业标准化、数字化、品牌化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具有示范性和引领性（5分）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管理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经营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和服务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具有可行性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创新性和竞争优势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带动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就业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（3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1.直接带动就业岗位的数量，间接带动创业就业的数量（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2.预计未来3年将创造就业岗位的数量规模（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带动高校毕业生、退役军人、残疾人、脱贫人口等重点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群体就业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促进员工高质量稳定就业，在规范用工、提供发展平台、改善工作环境、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引领生活方式转变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等方面的举措和效果（10分）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三、项目团队（20分）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项目第一创始人的素质、能力、背景和经历（5分）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团队成员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构成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的科学性、完整性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互补性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和稳定性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团队的整体运营能力和执行力（5分）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团队股权结构和员工激励机制合理性（5分）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四、发展现状和前景（2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1.项目运营现状，已取得的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经营业绩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2.项目财务状况，融资状况（5分）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3.项目具有广阔的市场前景，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具备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开拓市场的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可行性和条件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4.项目具有可持续发展的能力及良好的经济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价值（5分）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届“中国创翼”创业创新大赛曲靖选拔赛暨曲靖市“创投杯”创业创新大赛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  <w:t>（青年创意专项赛）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6"/>
          <w:szCs w:val="36"/>
          <w:highlight w:val="none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创新引领性（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产品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或服务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具有原创性、创新性（1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产品具有行业领先性或取得了专利等知识产权成果，项目在某个行业或领域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具有示范性和引领性（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商业模式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管理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和服务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具有可行性、创新性（10分）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预期带动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就业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未来3年将创造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直接就业和间接就业的规模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预期能带动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高校毕业生、退役军人、残疾人、脱贫人口等重点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群体就业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三、项目团队（2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项目第一创始人的素质、能力、背景和经历（10分）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团队成员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构成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的科学性、完整性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稳定性和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互补性（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四、发展前景（2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项目市场前景，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开拓市场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的可行性和条件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项目具有可持续发展的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必要条件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及良好的经济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价值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预期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  <w:bookmarkStart w:id="0" w:name="_Toc8296"/>
      <w:bookmarkStart w:id="1" w:name="_Toc1078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届“中国创翼”创业创新大赛曲靖选拔赛暨曲靖市“创投杯”创业创新大赛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</w:rPr>
        <w:t>（劳务品牌专项赛）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创新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引领性（2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具有成型的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产品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或服务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技术标准，在一定区域内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或某个行业内已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形成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自有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品牌，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企业信誉度较高，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具有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较强的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示范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引领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商业模式、管理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和服务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具有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一定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创新性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和可持续性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，对促进产业升级、区域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经济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发展、乡村振兴、文化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技艺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传承等方面有积极促进作用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（10分）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带动就业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直接带动就业岗位的数量(晋级全国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选拔赛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的项目须提供县级以上人社部门或乡镇人民政府出具的证明)，间接带动创业就业的数量，预计未来3年将创造就业岗位的数量规模（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带动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农村劳动力、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退役军人、残疾人、脱贫人口等重点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群体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及女性等特殊群体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就业创业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促进员工高质量稳定就业，在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规范用工、提高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收入、提升技能、改善工作环境等方面的举措和效果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三、项目团队（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项目第一创始人的素质、能力、背景和经历(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分)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团队成员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构成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的科学性、完整性和互补性（5分）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团队整体的运营能力和执行能力（5分）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发展现状和前景（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具有广阔的市场前景，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  <w:highlight w:val="none"/>
        </w:rPr>
        <w:t>具备大范围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推广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  <w:highlight w:val="none"/>
        </w:rPr>
        <w:t>的可行性和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基本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  <w:highlight w:val="none"/>
        </w:rPr>
        <w:t>条件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（10 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具有可持续发展的能力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良好的经济价值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、社会价值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发展带动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当地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形成雁阵产业集群的能力（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运营现状和财务状况，取得的进展和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业绩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both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  <w:lang w:eastAsia="zh-CN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华文中宋" w:cs="Times New Roman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届“中国创翼”创业创新大赛曲靖选拔赛暨曲靖市“创投杯”创业创新大赛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（乡村振兴专项赛）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一、创新引领性（2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服务、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产品具有原创性、创新性（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产品具有行业领先性或取得了专利等知识产权成果，项目在某个行业或领域具有示范性和引领性（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对巩固脱贫攻坚成果、促进产业升级、区域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经济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发展等方面有积极促进作用（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5分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商业模式、管理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和服务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模式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具有创新性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，适应在县以下小城镇和农村稳定发展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带动就业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（3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直接带动就业岗位的数量(晋级全国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决赛的项目须提供县级以上人社部门或乡镇人民政府出具的证明)，间接带动创业就业的数量，预计未来3年将创造就业岗位的数量规模（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带动高校毕业生、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农村劳动力、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退役军人、残疾人、脱贫人口等重点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群体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及女性等特殊群体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就近就地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就业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对促进员工高质量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稳定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就业，在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规范用工、提高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收入水平、提升员工能力、改善工作环境等方面的举措和效果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三、项目团队（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项目第一创始人的素质、能力、背景和经历(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分)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团队成员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构成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的科学性、完整性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互补性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和稳定性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（5分）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团队整体的运营能力和执行能力（5分）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发展现状和前景（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textAlignment w:val="auto"/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项目具有广阔的市场前景，</w:t>
      </w:r>
      <w:r>
        <w:rPr>
          <w:rFonts w:hint="default" w:ascii="Times New Roman" w:hAnsi="Times New Roman" w:eastAsia="仿宋" w:cs="Times New Roman"/>
          <w:color w:val="auto"/>
          <w:spacing w:val="-6"/>
          <w:kern w:val="0"/>
          <w:sz w:val="32"/>
          <w:szCs w:val="32"/>
          <w:highlight w:val="none"/>
        </w:rPr>
        <w:t>具备大范围推广的可行性和条件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（10 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项目具有可持续发展的能力，及良好的经济价值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eastAsia="zh-CN"/>
        </w:rPr>
        <w:t>、社会价值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pacing w:val="-6"/>
          <w:sz w:val="32"/>
          <w:szCs w:val="32"/>
          <w:highlight w:val="none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发展带动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当地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形成雁阵产业集群的能力（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运营现状和财务状况，取得的进展和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业绩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Style w:val="5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26985"/>
    <w:rsid w:val="5A526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7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2022-04-15T01:18:00Z</dcterms:created>
  <dc:creator>张斌</dc:creator>
  <cp:lastModifiedBy>张斌</cp:lastModifiedBy>
  <dcterms:modified xsi:type="dcterms:W3CDTF">2022-04-15T01:19:39Z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